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E231" w14:textId="66DB8D02" w:rsidR="00DB4DBE" w:rsidRPr="009B7564" w:rsidRDefault="00DB4DBE" w:rsidP="00DB4DBE">
      <w:pPr>
        <w:jc w:val="center"/>
        <w:rPr>
          <w:rFonts w:ascii="Times New Roman" w:hAnsi="Times New Roman" w:cs="Times New Roman"/>
          <w:b/>
          <w:bCs/>
          <w:lang w:val="es-PE"/>
        </w:rPr>
      </w:pPr>
      <w:r w:rsidRPr="009B7564">
        <w:rPr>
          <w:rFonts w:ascii="Times New Roman" w:hAnsi="Times New Roman" w:cs="Times New Roman"/>
          <w:b/>
          <w:bCs/>
          <w:lang w:val="es-PE"/>
        </w:rPr>
        <w:t>PROTOCOLO DE AUTOPSIA</w:t>
      </w:r>
    </w:p>
    <w:p w14:paraId="74A54EAF" w14:textId="66FBA8A8" w:rsidR="00DB4DBE" w:rsidRPr="000532E6" w:rsidRDefault="00DB4DBE" w:rsidP="00DB4DBE">
      <w:pPr>
        <w:jc w:val="center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Nº 010 – 2024</w:t>
      </w:r>
    </w:p>
    <w:p w14:paraId="5775C7DD" w14:textId="2E08C706" w:rsidR="00DB4DBE" w:rsidRPr="001E0C96" w:rsidRDefault="00DB4DBE" w:rsidP="001E0C96">
      <w:pPr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División Médico Legal de Lima</w:t>
      </w:r>
    </w:p>
    <w:p w14:paraId="1141DD2A" w14:textId="153A75B5" w:rsidR="00DB4DBE" w:rsidRPr="001E0C96" w:rsidRDefault="00DB4DBE" w:rsidP="001E0C96">
      <w:pPr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Distrito Judicial de Lima</w:t>
      </w:r>
    </w:p>
    <w:p w14:paraId="03118B7C" w14:textId="0C872D02" w:rsidR="00DB4DBE" w:rsidRPr="001E0C96" w:rsidRDefault="00DB4DBE" w:rsidP="001E0C96">
      <w:pPr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Morgue de Lima</w:t>
      </w:r>
    </w:p>
    <w:p w14:paraId="103A87CF" w14:textId="694A04AE" w:rsidR="00DB4DBE" w:rsidRPr="001E0C96" w:rsidRDefault="00DB4DBE" w:rsidP="001E0C96">
      <w:pPr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Fecha 1</w:t>
      </w:r>
      <w:r w:rsidR="00B612CB" w:rsidRPr="001E0C96">
        <w:rPr>
          <w:rFonts w:ascii="Times New Roman" w:hAnsi="Times New Roman" w:cs="Times New Roman"/>
          <w:lang w:val="es-PE"/>
        </w:rPr>
        <w:t>0</w:t>
      </w:r>
      <w:r w:rsidRPr="001E0C96">
        <w:rPr>
          <w:rFonts w:ascii="Times New Roman" w:hAnsi="Times New Roman" w:cs="Times New Roman"/>
          <w:lang w:val="es-PE"/>
        </w:rPr>
        <w:t xml:space="preserve"> de enero de 2024</w:t>
      </w:r>
    </w:p>
    <w:p w14:paraId="2FA09F1B" w14:textId="10AE465E" w:rsidR="00DB4DBE" w:rsidRPr="001E0C96" w:rsidRDefault="000532E6" w:rsidP="001E0C96">
      <w:pPr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Informe </w:t>
      </w:r>
      <w:r>
        <w:rPr>
          <w:rFonts w:ascii="Times New Roman" w:hAnsi="Times New Roman" w:cs="Times New Roman"/>
          <w:lang w:val="es-PE"/>
        </w:rPr>
        <w:t>s</w:t>
      </w:r>
      <w:r w:rsidRPr="001E0C96">
        <w:rPr>
          <w:rFonts w:ascii="Times New Roman" w:hAnsi="Times New Roman" w:cs="Times New Roman"/>
          <w:lang w:val="es-PE"/>
        </w:rPr>
        <w:t xml:space="preserve">olicitado </w:t>
      </w:r>
      <w:r>
        <w:rPr>
          <w:rFonts w:ascii="Times New Roman" w:hAnsi="Times New Roman" w:cs="Times New Roman"/>
          <w:lang w:val="es-PE"/>
        </w:rPr>
        <w:t>p</w:t>
      </w:r>
      <w:r w:rsidRPr="001E0C96">
        <w:rPr>
          <w:rFonts w:ascii="Times New Roman" w:hAnsi="Times New Roman" w:cs="Times New Roman"/>
          <w:lang w:val="es-PE"/>
        </w:rPr>
        <w:t>or</w:t>
      </w:r>
      <w:r w:rsidR="00DB4DBE" w:rsidRPr="001E0C96">
        <w:rPr>
          <w:rFonts w:ascii="Times New Roman" w:hAnsi="Times New Roman" w:cs="Times New Roman"/>
          <w:lang w:val="es-PE"/>
        </w:rPr>
        <w:t>: Primera Fiscalía Provincial Corporativa Penal de Miraflores – Surquillo – San Borja / Distrito Fiscal de Lima Centro</w:t>
      </w:r>
    </w:p>
    <w:p w14:paraId="0D148200" w14:textId="77777777" w:rsidR="00DB4DBE" w:rsidRPr="001E0C96" w:rsidRDefault="00DB4DBE" w:rsidP="001E0C96">
      <w:pPr>
        <w:jc w:val="both"/>
        <w:rPr>
          <w:rFonts w:ascii="Times New Roman" w:hAnsi="Times New Roman" w:cs="Times New Roman"/>
          <w:lang w:val="es-PE"/>
        </w:rPr>
      </w:pPr>
    </w:p>
    <w:p w14:paraId="70F6F329" w14:textId="07A71AA7" w:rsidR="00DB4DBE" w:rsidRPr="000532E6" w:rsidRDefault="000532E6" w:rsidP="001E0C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DATOS DEL FALLECIDO</w:t>
      </w:r>
    </w:p>
    <w:p w14:paraId="6BFE6E56" w14:textId="77777777" w:rsidR="00AD46A6" w:rsidRPr="001E0C96" w:rsidRDefault="00AD46A6" w:rsidP="001E0C96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12037561" w14:textId="77777777" w:rsidR="00AD46A6" w:rsidRPr="001E0C96" w:rsidRDefault="00DB4DBE" w:rsidP="001E0C9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Nombre: Luis Felipe Rivera Machado</w:t>
      </w:r>
    </w:p>
    <w:p w14:paraId="3E09BBA9" w14:textId="77777777" w:rsidR="00AD46A6" w:rsidRPr="001E0C96" w:rsidRDefault="00AD46A6" w:rsidP="001E0C9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E</w:t>
      </w:r>
      <w:r w:rsidR="00DB4DBE" w:rsidRPr="001E0C96">
        <w:rPr>
          <w:rFonts w:ascii="Times New Roman" w:hAnsi="Times New Roman" w:cs="Times New Roman"/>
          <w:lang w:val="es-PE"/>
        </w:rPr>
        <w:t>dad: 30 años</w:t>
      </w:r>
    </w:p>
    <w:p w14:paraId="7926681F" w14:textId="77777777" w:rsidR="00AD46A6" w:rsidRPr="001E0C96" w:rsidRDefault="00AD46A6" w:rsidP="001E0C9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S</w:t>
      </w:r>
      <w:r w:rsidR="00DB4DBE" w:rsidRPr="001E0C96">
        <w:rPr>
          <w:rFonts w:ascii="Times New Roman" w:hAnsi="Times New Roman" w:cs="Times New Roman"/>
          <w:lang w:val="es-PE"/>
        </w:rPr>
        <w:t>exo: masculino</w:t>
      </w:r>
    </w:p>
    <w:p w14:paraId="4C77BA39" w14:textId="77777777" w:rsidR="00AD46A6" w:rsidRPr="001E0C96" w:rsidRDefault="00AD46A6" w:rsidP="001E0C9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E</w:t>
      </w:r>
      <w:r w:rsidR="00DB4DBE" w:rsidRPr="001E0C96">
        <w:rPr>
          <w:rFonts w:ascii="Times New Roman" w:hAnsi="Times New Roman" w:cs="Times New Roman"/>
          <w:lang w:val="es-PE"/>
        </w:rPr>
        <w:t>stado civil: soltero</w:t>
      </w:r>
    </w:p>
    <w:p w14:paraId="1CCB68E0" w14:textId="77777777" w:rsidR="00AD46A6" w:rsidRPr="001E0C96" w:rsidRDefault="00AD46A6" w:rsidP="001E0C9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Lugar de residencia: Miraflores, Lima, Perú</w:t>
      </w:r>
    </w:p>
    <w:p w14:paraId="40AD66B3" w14:textId="77777777" w:rsidR="00E125DB" w:rsidRDefault="00AD46A6" w:rsidP="00E125DB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Lugar </w:t>
      </w:r>
      <w:r w:rsidR="00DB4DBE" w:rsidRPr="001E0C96">
        <w:rPr>
          <w:rFonts w:ascii="Times New Roman" w:hAnsi="Times New Roman" w:cs="Times New Roman"/>
          <w:lang w:val="es-PE"/>
        </w:rPr>
        <w:t xml:space="preserve">de </w:t>
      </w:r>
      <w:r w:rsidR="009B7564">
        <w:rPr>
          <w:rFonts w:ascii="Times New Roman" w:hAnsi="Times New Roman" w:cs="Times New Roman"/>
          <w:lang w:val="es-PE"/>
        </w:rPr>
        <w:t>hallazgo</w:t>
      </w:r>
      <w:r w:rsidR="00DB4DBE" w:rsidRPr="001E0C96">
        <w:rPr>
          <w:rFonts w:ascii="Times New Roman" w:hAnsi="Times New Roman" w:cs="Times New Roman"/>
          <w:lang w:val="es-PE"/>
        </w:rPr>
        <w:t>:</w:t>
      </w:r>
      <w:r w:rsidR="009B7564">
        <w:rPr>
          <w:rFonts w:ascii="Times New Roman" w:hAnsi="Times New Roman" w:cs="Times New Roman"/>
          <w:lang w:val="es-PE"/>
        </w:rPr>
        <w:t xml:space="preserve"> </w:t>
      </w:r>
      <w:r w:rsidR="0012095F">
        <w:rPr>
          <w:rFonts w:ascii="Times New Roman" w:hAnsi="Times New Roman" w:cs="Times New Roman"/>
          <w:lang w:val="es-PE"/>
        </w:rPr>
        <w:t>Pista de baile al i</w:t>
      </w:r>
      <w:r w:rsidR="009B7564">
        <w:rPr>
          <w:rFonts w:ascii="Times New Roman" w:hAnsi="Times New Roman" w:cs="Times New Roman"/>
          <w:lang w:val="es-PE"/>
        </w:rPr>
        <w:t>nterior de la d</w:t>
      </w:r>
      <w:r w:rsidR="00DB4DBE" w:rsidRPr="001E0C96">
        <w:rPr>
          <w:rFonts w:ascii="Times New Roman" w:hAnsi="Times New Roman" w:cs="Times New Roman"/>
          <w:lang w:val="es-PE"/>
        </w:rPr>
        <w:t>iscoteca “Narnia”, ubicada en el distrito de Miraflores.</w:t>
      </w:r>
    </w:p>
    <w:p w14:paraId="5859F35C" w14:textId="5FAD98BC" w:rsidR="00E125DB" w:rsidRPr="00E125DB" w:rsidRDefault="00E125DB" w:rsidP="00E125DB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lang w:val="es-PE"/>
        </w:rPr>
      </w:pPr>
      <w:r w:rsidRPr="00E125DB">
        <w:rPr>
          <w:rFonts w:ascii="Times New Roman" w:hAnsi="Times New Roman" w:cs="Times New Roman"/>
          <w:lang w:val="es-PE"/>
        </w:rPr>
        <w:t xml:space="preserve">Posición: </w:t>
      </w:r>
      <w:r>
        <w:rPr>
          <w:rFonts w:ascii="Times New Roman" w:hAnsi="Times New Roman" w:cs="Times New Roman"/>
          <w:lang w:val="es-PE"/>
        </w:rPr>
        <w:t>El cuerpo fue hallado en d</w:t>
      </w:r>
      <w:r w:rsidRPr="00E125DB">
        <w:rPr>
          <w:rFonts w:ascii="Times New Roman" w:hAnsi="Times New Roman" w:cs="Times New Roman"/>
          <w:lang w:val="es-PE"/>
        </w:rPr>
        <w:t>ecúbito supino (boca arriba), extremidades extendidas.</w:t>
      </w:r>
    </w:p>
    <w:p w14:paraId="6DE66E39" w14:textId="77777777" w:rsidR="00AD46A6" w:rsidRPr="001E0C96" w:rsidRDefault="00AD46A6" w:rsidP="001E0C96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7EB8AE20" w14:textId="3EBC4F8F" w:rsidR="00DB4DBE" w:rsidRPr="000532E6" w:rsidRDefault="00DB4DBE" w:rsidP="001E0C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AUTOPSIA:</w:t>
      </w:r>
    </w:p>
    <w:p w14:paraId="6AB7411B" w14:textId="77777777" w:rsidR="000532E6" w:rsidRPr="001E0C96" w:rsidRDefault="000532E6" w:rsidP="000532E6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314743F9" w14:textId="77777777" w:rsidR="00AD46A6" w:rsidRPr="001E0C96" w:rsidRDefault="00DB4DBE" w:rsidP="001E0C96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Practicada por </w:t>
      </w:r>
      <w:r w:rsidR="00AD46A6" w:rsidRPr="001E0C96">
        <w:rPr>
          <w:rFonts w:ascii="Times New Roman" w:hAnsi="Times New Roman" w:cs="Times New Roman"/>
          <w:lang w:val="es-PE"/>
        </w:rPr>
        <w:t xml:space="preserve">el </w:t>
      </w:r>
      <w:r w:rsidRPr="001E0C96">
        <w:rPr>
          <w:rFonts w:ascii="Times New Roman" w:hAnsi="Times New Roman" w:cs="Times New Roman"/>
          <w:lang w:val="es-PE"/>
        </w:rPr>
        <w:t xml:space="preserve">Dr. Jimmy Santos Chávez Ruiz </w:t>
      </w:r>
    </w:p>
    <w:p w14:paraId="461800AD" w14:textId="77777777" w:rsidR="00AD46A6" w:rsidRPr="001E0C96" w:rsidRDefault="00DB4DBE" w:rsidP="001E0C96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Autoridades presentes: Dra. Liliana Echandía Guevara</w:t>
      </w:r>
    </w:p>
    <w:p w14:paraId="620FA064" w14:textId="5C94202F" w:rsidR="00DB4DBE" w:rsidRPr="001E0C96" w:rsidRDefault="00DB4DBE" w:rsidP="001E0C96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Lugar: Morgue de Lima</w:t>
      </w:r>
    </w:p>
    <w:p w14:paraId="77994F1E" w14:textId="60486854" w:rsidR="00AD46A6" w:rsidRPr="001E0C96" w:rsidRDefault="00AD46A6" w:rsidP="001E0C96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Fecha y hora de autopsia: 1</w:t>
      </w:r>
      <w:r w:rsidR="00B612CB" w:rsidRPr="001E0C96">
        <w:rPr>
          <w:rFonts w:ascii="Times New Roman" w:hAnsi="Times New Roman" w:cs="Times New Roman"/>
          <w:lang w:val="es-PE"/>
        </w:rPr>
        <w:t>0</w:t>
      </w:r>
      <w:r w:rsidRPr="001E0C96">
        <w:rPr>
          <w:rFonts w:ascii="Times New Roman" w:hAnsi="Times New Roman" w:cs="Times New Roman"/>
          <w:lang w:val="es-PE"/>
        </w:rPr>
        <w:t xml:space="preserve"> de enero de 2024, </w:t>
      </w:r>
      <w:r w:rsidR="00B612CB" w:rsidRPr="001E0C96">
        <w:rPr>
          <w:rFonts w:ascii="Times New Roman" w:hAnsi="Times New Roman" w:cs="Times New Roman"/>
          <w:lang w:val="es-PE"/>
        </w:rPr>
        <w:t>13</w:t>
      </w:r>
      <w:r w:rsidRPr="001E0C96">
        <w:rPr>
          <w:rFonts w:ascii="Times New Roman" w:hAnsi="Times New Roman" w:cs="Times New Roman"/>
          <w:lang w:val="es-PE"/>
        </w:rPr>
        <w:t>:00 horas</w:t>
      </w:r>
    </w:p>
    <w:p w14:paraId="6278DF09" w14:textId="17907772" w:rsidR="00AD46A6" w:rsidRPr="001E0C96" w:rsidRDefault="00DB4DBE" w:rsidP="001E0C96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Prendas de vestir: </w:t>
      </w:r>
      <w:r w:rsidR="002512B4" w:rsidRPr="001E0C96">
        <w:rPr>
          <w:rFonts w:ascii="Times New Roman" w:hAnsi="Times New Roman" w:cs="Times New Roman"/>
          <w:lang w:val="es-PE"/>
        </w:rPr>
        <w:t xml:space="preserve">restos de </w:t>
      </w:r>
      <w:r w:rsidRPr="001E0C96">
        <w:rPr>
          <w:rFonts w:ascii="Times New Roman" w:hAnsi="Times New Roman" w:cs="Times New Roman"/>
          <w:lang w:val="es-PE"/>
        </w:rPr>
        <w:t>01 camisa manga larga</w:t>
      </w:r>
      <w:r w:rsidR="00AD46A6" w:rsidRPr="001E0C96">
        <w:rPr>
          <w:rFonts w:ascii="Times New Roman" w:hAnsi="Times New Roman" w:cs="Times New Roman"/>
          <w:lang w:val="es-PE"/>
        </w:rPr>
        <w:t xml:space="preserve"> rasgada</w:t>
      </w:r>
      <w:r w:rsidRPr="001E0C96">
        <w:rPr>
          <w:rFonts w:ascii="Times New Roman" w:hAnsi="Times New Roman" w:cs="Times New Roman"/>
          <w:lang w:val="es-PE"/>
        </w:rPr>
        <w:t>, color blanco;</w:t>
      </w:r>
      <w:r w:rsidR="00AD46A6" w:rsidRPr="001E0C96">
        <w:rPr>
          <w:rFonts w:ascii="Times New Roman" w:hAnsi="Times New Roman" w:cs="Times New Roman"/>
          <w:lang w:val="es-PE"/>
        </w:rPr>
        <w:t xml:space="preserve"> </w:t>
      </w:r>
      <w:r w:rsidR="002512B4" w:rsidRPr="001E0C96">
        <w:rPr>
          <w:rFonts w:ascii="Times New Roman" w:hAnsi="Times New Roman" w:cs="Times New Roman"/>
          <w:lang w:val="es-PE"/>
        </w:rPr>
        <w:t xml:space="preserve">restos </w:t>
      </w:r>
      <w:r w:rsidR="00AD46A6" w:rsidRPr="001E0C96">
        <w:rPr>
          <w:rFonts w:ascii="Times New Roman" w:hAnsi="Times New Roman" w:cs="Times New Roman"/>
          <w:lang w:val="es-PE"/>
        </w:rPr>
        <w:t xml:space="preserve">01 </w:t>
      </w:r>
      <w:r w:rsidR="002512B4" w:rsidRPr="001E0C96">
        <w:rPr>
          <w:rFonts w:ascii="Times New Roman" w:hAnsi="Times New Roman" w:cs="Times New Roman"/>
          <w:lang w:val="es-PE"/>
        </w:rPr>
        <w:t xml:space="preserve">de un </w:t>
      </w:r>
      <w:r w:rsidR="00AD46A6" w:rsidRPr="001E0C96">
        <w:rPr>
          <w:rFonts w:ascii="Times New Roman" w:hAnsi="Times New Roman" w:cs="Times New Roman"/>
          <w:lang w:val="es-PE"/>
        </w:rPr>
        <w:t xml:space="preserve">jean color azul; 01 calzoncillo color negro; 01 par de zapatillas color blanco, marca </w:t>
      </w:r>
      <w:proofErr w:type="spellStart"/>
      <w:r w:rsidR="00AD46A6" w:rsidRPr="001E0C96">
        <w:rPr>
          <w:rFonts w:ascii="Times New Roman" w:hAnsi="Times New Roman" w:cs="Times New Roman"/>
          <w:lang w:val="es-PE"/>
        </w:rPr>
        <w:t>adidas</w:t>
      </w:r>
      <w:proofErr w:type="spellEnd"/>
    </w:p>
    <w:p w14:paraId="41EFBB4C" w14:textId="4AD82E66" w:rsidR="00AD46A6" w:rsidRPr="001E0C96" w:rsidRDefault="00AD46A6" w:rsidP="001E0C96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Objetos: 01 reloj marca Omega; 01 billetera conteniendo un DNI 70236764 y 02 billetes de cien soles y 01 tarjeta de crédito BCP</w:t>
      </w:r>
    </w:p>
    <w:p w14:paraId="42D4E7AF" w14:textId="77777777" w:rsidR="00AD46A6" w:rsidRPr="001E0C96" w:rsidRDefault="00AD46A6" w:rsidP="001E0C96">
      <w:pPr>
        <w:pStyle w:val="ListParagraph"/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</w:p>
    <w:p w14:paraId="533B1CE5" w14:textId="3B3A99FA" w:rsidR="00AD46A6" w:rsidRPr="000532E6" w:rsidRDefault="00B612CB" w:rsidP="001E0C9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FENÓMENOS CADAVÉRICOS Y TIEMPO APROXIMADO DE LA MUERTE</w:t>
      </w:r>
    </w:p>
    <w:p w14:paraId="1CF2E85A" w14:textId="77777777" w:rsidR="00B612CB" w:rsidRPr="001E0C96" w:rsidRDefault="00B612CB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6ED42419" w14:textId="77777777" w:rsidR="00B612CB" w:rsidRPr="001E0C96" w:rsidRDefault="00B612CB" w:rsidP="001E0C96">
      <w:pPr>
        <w:pStyle w:val="ListParagraph"/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B612CB">
        <w:rPr>
          <w:rFonts w:ascii="Times New Roman" w:hAnsi="Times New Roman" w:cs="Times New Roman"/>
          <w:lang w:val="es-PE"/>
        </w:rPr>
        <w:t>Rigidez cadavérica: Presenta rigidez marcada en todos los grupos musculares.</w:t>
      </w:r>
    </w:p>
    <w:p w14:paraId="1019BF41" w14:textId="77777777" w:rsidR="00B612CB" w:rsidRPr="001E0C96" w:rsidRDefault="00B612CB" w:rsidP="001E0C96">
      <w:pPr>
        <w:pStyle w:val="ListParagraph"/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lastRenderedPageBreak/>
        <w:t>Livideces cadavéricas: Escasamente visibles por carbonización, pero presentes en zonas de piel no afectadas (región lumbar).</w:t>
      </w:r>
    </w:p>
    <w:p w14:paraId="30453973" w14:textId="77777777" w:rsidR="00B612CB" w:rsidRPr="001E0C96" w:rsidRDefault="00B612CB" w:rsidP="001E0C96">
      <w:pPr>
        <w:pStyle w:val="ListParagraph"/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Temperatura corporal: Descenso acorde a más de 6 horas de fallecido.</w:t>
      </w:r>
    </w:p>
    <w:p w14:paraId="3F36CF2C" w14:textId="2D5EFE0E" w:rsidR="00B612CB" w:rsidRPr="001E0C96" w:rsidRDefault="00B612CB" w:rsidP="001E0C96">
      <w:pPr>
        <w:pStyle w:val="ListParagraph"/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Estado de conservación: Compatible con muerte reciente. No hay signos de descomposición.</w:t>
      </w:r>
    </w:p>
    <w:p w14:paraId="74F51D30" w14:textId="444B53B7" w:rsidR="00B612CB" w:rsidRPr="001E0C96" w:rsidRDefault="00B612CB" w:rsidP="001E0C96">
      <w:pPr>
        <w:pStyle w:val="ListParagraph"/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Tiempo aproximado de la muerte: 10 horas</w:t>
      </w:r>
    </w:p>
    <w:p w14:paraId="7E35A779" w14:textId="77777777" w:rsidR="00B612CB" w:rsidRPr="001E0C96" w:rsidRDefault="00B612CB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6DBD90FE" w14:textId="26CF2DAF" w:rsidR="00B612CB" w:rsidRPr="000532E6" w:rsidRDefault="002512B4" w:rsidP="001E0C9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EXAMEN EXTERNO</w:t>
      </w:r>
    </w:p>
    <w:p w14:paraId="126E4A98" w14:textId="77777777" w:rsidR="002512B4" w:rsidRPr="001E0C96" w:rsidRDefault="002512B4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0E377E4C" w14:textId="3F86ACC3" w:rsidR="002512B4" w:rsidRPr="001E0C96" w:rsidRDefault="002512B4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1E0C96">
        <w:rPr>
          <w:rFonts w:ascii="Times New Roman" w:hAnsi="Times New Roman" w:cs="Times New Roman"/>
        </w:rPr>
        <w:t>Grado de quemaduras:</w:t>
      </w:r>
    </w:p>
    <w:p w14:paraId="0121D01D" w14:textId="77777777" w:rsidR="001E0C96" w:rsidRPr="001E0C96" w:rsidRDefault="001E0C96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b/>
          <w:bCs/>
        </w:rPr>
      </w:pPr>
    </w:p>
    <w:p w14:paraId="41A5FCC9" w14:textId="77777777" w:rsidR="002512B4" w:rsidRPr="001E0C96" w:rsidRDefault="002512B4" w:rsidP="001E0C96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2512B4">
        <w:rPr>
          <w:rFonts w:ascii="Times New Roman" w:hAnsi="Times New Roman" w:cs="Times New Roman"/>
          <w:lang w:val="es-PE"/>
        </w:rPr>
        <w:t>Grado II (profundas) en región torácica, abdominal anterior, ambos brazos y rostro.</w:t>
      </w:r>
    </w:p>
    <w:p w14:paraId="17DF7161" w14:textId="77777777" w:rsidR="002512B4" w:rsidRDefault="002512B4" w:rsidP="001E0C96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Grado III en parte de las piernas: carbonización completa con exposición ósea parcial.</w:t>
      </w:r>
    </w:p>
    <w:p w14:paraId="6F4D1527" w14:textId="77777777" w:rsidR="000532E6" w:rsidRPr="001E0C96" w:rsidRDefault="000532E6" w:rsidP="000532E6">
      <w:pPr>
        <w:pStyle w:val="ListParagraph"/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</w:p>
    <w:p w14:paraId="1296D56F" w14:textId="5FF0F493" w:rsidR="002512B4" w:rsidRPr="001E0C96" w:rsidRDefault="002512B4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 Distribución anatómica:</w:t>
      </w:r>
    </w:p>
    <w:p w14:paraId="0C2F1046" w14:textId="77777777" w:rsidR="002512B4" w:rsidRPr="001E0C96" w:rsidRDefault="002512B4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21F007EE" w14:textId="33726604" w:rsidR="002512B4" w:rsidRPr="001E0C96" w:rsidRDefault="002512B4" w:rsidP="001E0C96">
      <w:pPr>
        <w:pStyle w:val="ListParagraph"/>
        <w:numPr>
          <w:ilvl w:val="0"/>
          <w:numId w:val="7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70% de superficie corporal total afectada por quemaduras térmicas.</w:t>
      </w:r>
    </w:p>
    <w:p w14:paraId="7D931D88" w14:textId="2462ACEA" w:rsidR="002512B4" w:rsidRPr="001E0C96" w:rsidRDefault="002512B4" w:rsidP="001E0C96">
      <w:pPr>
        <w:pStyle w:val="ListParagraph"/>
        <w:numPr>
          <w:ilvl w:val="0"/>
          <w:numId w:val="7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Ampollas serohemáticas en el dorso y cuello</w:t>
      </w:r>
    </w:p>
    <w:p w14:paraId="7D96D4FA" w14:textId="0D568FB4" w:rsidR="002512B4" w:rsidRPr="001E0C96" w:rsidRDefault="002512B4" w:rsidP="001E0C96">
      <w:pPr>
        <w:pStyle w:val="ListParagraph"/>
        <w:numPr>
          <w:ilvl w:val="0"/>
          <w:numId w:val="7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Hendiduras por calor ("suturas térmicas") en cara interna del muslo derecho.</w:t>
      </w:r>
    </w:p>
    <w:p w14:paraId="52249DA4" w14:textId="512AACEA" w:rsidR="002512B4" w:rsidRPr="001E0C96" w:rsidRDefault="002512B4" w:rsidP="001E0C96">
      <w:pPr>
        <w:pStyle w:val="ListParagraph"/>
        <w:numPr>
          <w:ilvl w:val="0"/>
          <w:numId w:val="7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</w:rPr>
        <w:t>Desprendimiento epidérmico generalizado.</w:t>
      </w:r>
    </w:p>
    <w:p w14:paraId="03640E22" w14:textId="77777777" w:rsidR="002512B4" w:rsidRPr="001E0C96" w:rsidRDefault="002512B4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60751F1E" w14:textId="64C7B63B" w:rsidR="002512B4" w:rsidRPr="001E0C96" w:rsidRDefault="002512B4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Signos de Asfixia</w:t>
      </w:r>
    </w:p>
    <w:p w14:paraId="704C21CB" w14:textId="77777777" w:rsidR="002512B4" w:rsidRPr="001E0C96" w:rsidRDefault="002512B4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79E68A28" w14:textId="77777777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2512B4">
        <w:rPr>
          <w:rFonts w:ascii="Times New Roman" w:hAnsi="Times New Roman" w:cs="Times New Roman"/>
          <w:lang w:val="es-PE"/>
        </w:rPr>
        <w:t>Cianosis peribucal y subungueal.</w:t>
      </w:r>
    </w:p>
    <w:p w14:paraId="2FDF3567" w14:textId="77777777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Hollín en orificios nasales y bucales.</w:t>
      </w:r>
    </w:p>
    <w:p w14:paraId="5874AB2E" w14:textId="77777777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Presencia de contenido negro en la cavidad oral.</w:t>
      </w:r>
    </w:p>
    <w:p w14:paraId="69A36AF6" w14:textId="77777777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Conjuntivas con petequias hemorrágicas.</w:t>
      </w:r>
    </w:p>
    <w:p w14:paraId="7734B9E7" w14:textId="77777777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Lengua protruida ligeramente.</w:t>
      </w:r>
    </w:p>
    <w:p w14:paraId="1F38268C" w14:textId="2895002E" w:rsidR="002512B4" w:rsidRPr="001E0C96" w:rsidRDefault="002512B4" w:rsidP="001E0C96">
      <w:pPr>
        <w:pStyle w:val="ListParagraph"/>
        <w:numPr>
          <w:ilvl w:val="0"/>
          <w:numId w:val="8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proofErr w:type="spellStart"/>
      <w:r w:rsidRPr="001E0C96">
        <w:rPr>
          <w:rFonts w:ascii="Times New Roman" w:hAnsi="Times New Roman" w:cs="Times New Roman"/>
        </w:rPr>
        <w:t>Narinas</w:t>
      </w:r>
      <w:proofErr w:type="spellEnd"/>
      <w:r w:rsidRPr="001E0C96">
        <w:rPr>
          <w:rFonts w:ascii="Times New Roman" w:hAnsi="Times New Roman" w:cs="Times New Roman"/>
        </w:rPr>
        <w:t xml:space="preserve"> </w:t>
      </w:r>
      <w:proofErr w:type="spellStart"/>
      <w:r w:rsidRPr="001E0C96">
        <w:rPr>
          <w:rFonts w:ascii="Times New Roman" w:hAnsi="Times New Roman" w:cs="Times New Roman"/>
        </w:rPr>
        <w:t>abiertas</w:t>
      </w:r>
      <w:proofErr w:type="spellEnd"/>
      <w:r w:rsidRPr="001E0C96">
        <w:rPr>
          <w:rFonts w:ascii="Times New Roman" w:hAnsi="Times New Roman" w:cs="Times New Roman"/>
        </w:rPr>
        <w:t>.</w:t>
      </w:r>
    </w:p>
    <w:p w14:paraId="6AD3C5D5" w14:textId="77777777" w:rsidR="002512B4" w:rsidRPr="001E0C96" w:rsidRDefault="002512B4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434F03D6" w14:textId="3AA22FF2" w:rsidR="002512B4" w:rsidRPr="000532E6" w:rsidRDefault="002512B4" w:rsidP="001E0C9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EXAMEN INTERNO</w:t>
      </w:r>
    </w:p>
    <w:p w14:paraId="46245673" w14:textId="77777777" w:rsidR="002512B4" w:rsidRPr="001E0C96" w:rsidRDefault="002512B4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7A24BDDD" w14:textId="66813602" w:rsidR="002512B4" w:rsidRDefault="002512B4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Cavidad Craneal</w:t>
      </w:r>
    </w:p>
    <w:p w14:paraId="3385C935" w14:textId="77777777" w:rsidR="000532E6" w:rsidRPr="001E0C96" w:rsidRDefault="000532E6" w:rsidP="000532E6">
      <w:pPr>
        <w:pStyle w:val="ListParagraph"/>
        <w:tabs>
          <w:tab w:val="left" w:pos="1080"/>
        </w:tabs>
        <w:spacing w:after="0"/>
        <w:ind w:left="1092"/>
        <w:jc w:val="both"/>
        <w:rPr>
          <w:rFonts w:ascii="Times New Roman" w:hAnsi="Times New Roman" w:cs="Times New Roman"/>
          <w:lang w:val="es-PE"/>
        </w:rPr>
      </w:pPr>
    </w:p>
    <w:p w14:paraId="2E2AC85F" w14:textId="77777777" w:rsidR="001E0C96" w:rsidRPr="001E0C96" w:rsidRDefault="002512B4" w:rsidP="001E0C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E0C96">
        <w:rPr>
          <w:rFonts w:ascii="Times New Roman" w:eastAsia="Times New Roman" w:hAnsi="Times New Roman" w:cs="Times New Roman"/>
          <w:kern w:val="0"/>
          <w14:ligatures w14:val="none"/>
        </w:rPr>
        <w:t>Cráneo</w:t>
      </w:r>
      <w:proofErr w:type="spellEnd"/>
      <w:r w:rsidRPr="001E0C9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E0C96">
        <w:rPr>
          <w:rFonts w:ascii="Times New Roman" w:eastAsia="Times New Roman" w:hAnsi="Times New Roman" w:cs="Times New Roman"/>
          <w:kern w:val="0"/>
          <w14:ligatures w14:val="none"/>
        </w:rPr>
        <w:t>íntegro</w:t>
      </w:r>
      <w:proofErr w:type="spellEnd"/>
      <w:r w:rsidRPr="001E0C9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51870D" w14:textId="77777777" w:rsidR="001E0C96" w:rsidRPr="001E0C96" w:rsidRDefault="002512B4" w:rsidP="001E0C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Meninges sin signos de hemorragia subaracnoidea.</w:t>
      </w:r>
    </w:p>
    <w:p w14:paraId="3B432E0A" w14:textId="77777777" w:rsidR="001E0C96" w:rsidRPr="001E0C96" w:rsidRDefault="002512B4" w:rsidP="001E0C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Encéfalo de consistencia y volumen normales.</w:t>
      </w:r>
    </w:p>
    <w:p w14:paraId="45B28B32" w14:textId="77777777" w:rsidR="001E0C96" w:rsidRPr="001E0C96" w:rsidRDefault="002512B4" w:rsidP="001E0C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No hay hemorragias ni signos de trauma craneoencefálico.</w:t>
      </w:r>
    </w:p>
    <w:p w14:paraId="187588CA" w14:textId="74B45876" w:rsidR="002512B4" w:rsidRPr="001E0C96" w:rsidRDefault="002512B4" w:rsidP="001E0C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Corte coronal sin alteraciones notorias.</w:t>
      </w:r>
    </w:p>
    <w:p w14:paraId="038F5521" w14:textId="77777777" w:rsidR="002512B4" w:rsidRPr="001E0C96" w:rsidRDefault="002512B4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644FDA93" w14:textId="2DD8AD6E" w:rsidR="002512B4" w:rsidRPr="001E0C96" w:rsidRDefault="002512B4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lastRenderedPageBreak/>
        <w:t>Cavidad torácica</w:t>
      </w:r>
    </w:p>
    <w:p w14:paraId="34702D93" w14:textId="77777777" w:rsidR="000532E6" w:rsidRDefault="000532E6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5E3BB804" w14:textId="53F68C46" w:rsidR="001E0C96" w:rsidRPr="001E0C96" w:rsidRDefault="001E0C96" w:rsidP="001E0C9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Pulmones:</w:t>
      </w:r>
    </w:p>
    <w:p w14:paraId="028B0302" w14:textId="77777777" w:rsidR="001E0C96" w:rsidRPr="001E0C96" w:rsidRDefault="001E0C96" w:rsidP="001E0C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Voluminosos, con aumento de peso (edema pulmonar).</w:t>
      </w:r>
    </w:p>
    <w:p w14:paraId="1318D351" w14:textId="77777777" w:rsidR="001E0C96" w:rsidRPr="001E0C96" w:rsidRDefault="001E0C96" w:rsidP="001E0C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Al corte: exudan líquido espumoso y rosado (signo de edema agudo).</w:t>
      </w:r>
    </w:p>
    <w:p w14:paraId="1D443510" w14:textId="77777777" w:rsidR="001E0C96" w:rsidRPr="001E0C96" w:rsidRDefault="001E0C96" w:rsidP="001E0C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Bronquios y tráquea: presencia de hollín negro en mucosa traqueal y bronquial → prueba positiva de inhalación de humo en vida.</w:t>
      </w:r>
    </w:p>
    <w:p w14:paraId="785122F5" w14:textId="4513A23F" w:rsidR="001E0C96" w:rsidRPr="001E0C96" w:rsidRDefault="001E0C96" w:rsidP="001E0C9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proofErr w:type="spellStart"/>
      <w:r w:rsidRPr="001E0C96">
        <w:rPr>
          <w:rFonts w:ascii="Times New Roman" w:eastAsia="Times New Roman" w:hAnsi="Times New Roman" w:cs="Times New Roman"/>
          <w:kern w:val="0"/>
          <w14:ligatures w14:val="none"/>
        </w:rPr>
        <w:t>Congestión</w:t>
      </w:r>
      <w:proofErr w:type="spellEnd"/>
      <w:r w:rsidRPr="001E0C96">
        <w:rPr>
          <w:rFonts w:ascii="Times New Roman" w:eastAsia="Times New Roman" w:hAnsi="Times New Roman" w:cs="Times New Roman"/>
          <w:kern w:val="0"/>
          <w14:ligatures w14:val="none"/>
        </w:rPr>
        <w:t xml:space="preserve"> vascular </w:t>
      </w:r>
      <w:proofErr w:type="spellStart"/>
      <w:r w:rsidRPr="001E0C96">
        <w:rPr>
          <w:rFonts w:ascii="Times New Roman" w:eastAsia="Times New Roman" w:hAnsi="Times New Roman" w:cs="Times New Roman"/>
          <w:kern w:val="0"/>
          <w14:ligatures w14:val="none"/>
        </w:rPr>
        <w:t>generalizada</w:t>
      </w:r>
      <w:proofErr w:type="spellEnd"/>
      <w:r w:rsidRPr="001E0C9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02EE115" w14:textId="77777777" w:rsidR="001E0C96" w:rsidRPr="001E0C96" w:rsidRDefault="001E0C96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304B77FA" w14:textId="5CB4690C" w:rsidR="001E0C96" w:rsidRDefault="001E0C96" w:rsidP="001E0C96">
      <w:pPr>
        <w:pStyle w:val="ListParagraph"/>
        <w:tabs>
          <w:tab w:val="left" w:pos="1080"/>
        </w:tabs>
        <w:ind w:left="108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Corazón:</w:t>
      </w:r>
    </w:p>
    <w:p w14:paraId="345A4F5C" w14:textId="77777777" w:rsidR="000532E6" w:rsidRPr="001E0C96" w:rsidRDefault="000532E6" w:rsidP="000532E6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lang w:val="es-PE"/>
        </w:rPr>
      </w:pPr>
    </w:p>
    <w:p w14:paraId="295AC069" w14:textId="77777777" w:rsidR="001E0C96" w:rsidRPr="001E0C96" w:rsidRDefault="001E0C96" w:rsidP="001E0C96">
      <w:pPr>
        <w:pStyle w:val="ListParagraph"/>
        <w:numPr>
          <w:ilvl w:val="0"/>
          <w:numId w:val="1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Tamaño y forma normales.</w:t>
      </w:r>
    </w:p>
    <w:p w14:paraId="23F42017" w14:textId="77777777" w:rsidR="001E0C96" w:rsidRPr="001E0C96" w:rsidRDefault="001E0C96" w:rsidP="001E0C96">
      <w:pPr>
        <w:pStyle w:val="ListParagraph"/>
        <w:numPr>
          <w:ilvl w:val="0"/>
          <w:numId w:val="1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Cavidades cardíacas llenas de sangre fluida y coagulada.</w:t>
      </w:r>
    </w:p>
    <w:p w14:paraId="13EBBDCD" w14:textId="77777777" w:rsidR="001E0C96" w:rsidRPr="001E0C96" w:rsidRDefault="001E0C96" w:rsidP="001E0C96">
      <w:pPr>
        <w:pStyle w:val="ListParagraph"/>
        <w:numPr>
          <w:ilvl w:val="0"/>
          <w:numId w:val="1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Músculo cardíaco sin lesiones aparentes.</w:t>
      </w:r>
    </w:p>
    <w:p w14:paraId="24FA731F" w14:textId="50136A8F" w:rsidR="001E0C96" w:rsidRPr="001E0C96" w:rsidRDefault="001E0C96" w:rsidP="001E0C96">
      <w:pPr>
        <w:pStyle w:val="ListParagraph"/>
        <w:numPr>
          <w:ilvl w:val="0"/>
          <w:numId w:val="1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proofErr w:type="spellStart"/>
      <w:r w:rsidRPr="001E0C96">
        <w:rPr>
          <w:rFonts w:ascii="Times New Roman" w:hAnsi="Times New Roman" w:cs="Times New Roman"/>
        </w:rPr>
        <w:t>Arterias</w:t>
      </w:r>
      <w:proofErr w:type="spellEnd"/>
      <w:r w:rsidRPr="001E0C96">
        <w:rPr>
          <w:rFonts w:ascii="Times New Roman" w:hAnsi="Times New Roman" w:cs="Times New Roman"/>
        </w:rPr>
        <w:t xml:space="preserve"> </w:t>
      </w:r>
      <w:proofErr w:type="spellStart"/>
      <w:r w:rsidRPr="001E0C96">
        <w:rPr>
          <w:rFonts w:ascii="Times New Roman" w:hAnsi="Times New Roman" w:cs="Times New Roman"/>
        </w:rPr>
        <w:t>coronarias</w:t>
      </w:r>
      <w:proofErr w:type="spellEnd"/>
      <w:r w:rsidRPr="001E0C96">
        <w:rPr>
          <w:rFonts w:ascii="Times New Roman" w:hAnsi="Times New Roman" w:cs="Times New Roman"/>
        </w:rPr>
        <w:t xml:space="preserve"> </w:t>
      </w:r>
      <w:proofErr w:type="spellStart"/>
      <w:r w:rsidRPr="001E0C96">
        <w:rPr>
          <w:rFonts w:ascii="Times New Roman" w:hAnsi="Times New Roman" w:cs="Times New Roman"/>
        </w:rPr>
        <w:t>permeables</w:t>
      </w:r>
      <w:proofErr w:type="spellEnd"/>
      <w:r w:rsidRPr="001E0C96">
        <w:rPr>
          <w:rFonts w:ascii="Times New Roman" w:hAnsi="Times New Roman" w:cs="Times New Roman"/>
        </w:rPr>
        <w:t>.</w:t>
      </w:r>
    </w:p>
    <w:p w14:paraId="21A3EFF9" w14:textId="77777777" w:rsidR="001E0C96" w:rsidRPr="001E0C96" w:rsidRDefault="001E0C96" w:rsidP="001E0C96">
      <w:pPr>
        <w:pStyle w:val="ListParagraph"/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</w:p>
    <w:p w14:paraId="562B2419" w14:textId="71566571" w:rsidR="002512B4" w:rsidRDefault="002512B4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Cavidad abdominal</w:t>
      </w:r>
    </w:p>
    <w:p w14:paraId="0C1B3B72" w14:textId="77777777" w:rsidR="000532E6" w:rsidRPr="001E0C96" w:rsidRDefault="000532E6" w:rsidP="000532E6">
      <w:pPr>
        <w:pStyle w:val="ListParagraph"/>
        <w:tabs>
          <w:tab w:val="left" w:pos="1080"/>
        </w:tabs>
        <w:ind w:left="1092"/>
        <w:jc w:val="both"/>
        <w:rPr>
          <w:rFonts w:ascii="Times New Roman" w:hAnsi="Times New Roman" w:cs="Times New Roman"/>
          <w:lang w:val="es-PE"/>
        </w:rPr>
      </w:pPr>
    </w:p>
    <w:p w14:paraId="7ACD1D4D" w14:textId="77777777" w:rsidR="001E0C96" w:rsidRPr="001E0C96" w:rsidRDefault="001E0C96" w:rsidP="001E0C9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Estómago: contenido alimenticio parcialmente digerido, sin evidencia de sangre o sustancias cáusticas.</w:t>
      </w:r>
    </w:p>
    <w:p w14:paraId="7CF7D63E" w14:textId="77777777" w:rsidR="001E0C96" w:rsidRPr="001E0C96" w:rsidRDefault="001E0C96" w:rsidP="001E0C9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Intestinos, hígado, riñones, bazo: congestión visceral generalizada.</w:t>
      </w:r>
    </w:p>
    <w:p w14:paraId="4F643AE6" w14:textId="77777777" w:rsidR="001E0C96" w:rsidRPr="001E0C96" w:rsidRDefault="001E0C96" w:rsidP="001E0C9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No hay signos de trauma abdominal ni lesiones por arma blanca.</w:t>
      </w:r>
    </w:p>
    <w:p w14:paraId="56750341" w14:textId="466297BE" w:rsidR="001E0C96" w:rsidRPr="001E0C96" w:rsidRDefault="001E0C96" w:rsidP="001E0C9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s-PE"/>
          <w14:ligatures w14:val="none"/>
        </w:rPr>
      </w:pPr>
      <w:r w:rsidRPr="001E0C96">
        <w:rPr>
          <w:rFonts w:ascii="Times New Roman" w:eastAsia="Times New Roman" w:hAnsi="Times New Roman" w:cs="Times New Roman"/>
          <w:kern w:val="0"/>
          <w:lang w:val="es-PE"/>
          <w14:ligatures w14:val="none"/>
        </w:rPr>
        <w:t>Riñones congestivos, sin signos de necrosis.</w:t>
      </w:r>
    </w:p>
    <w:p w14:paraId="584839A9" w14:textId="77777777" w:rsidR="002512B4" w:rsidRPr="001E0C96" w:rsidRDefault="002512B4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78909A75" w14:textId="025DD7CF" w:rsidR="001E0C96" w:rsidRPr="000532E6" w:rsidRDefault="001E0C96" w:rsidP="001E0C9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ESTUDIOS COMPLEMENTARIOS</w:t>
      </w:r>
    </w:p>
    <w:p w14:paraId="44E23BD8" w14:textId="77777777" w:rsidR="001E0C96" w:rsidRPr="001E0C96" w:rsidRDefault="001E0C96" w:rsidP="001E0C9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4F9E1A8A" w14:textId="1310583F" w:rsidR="001E0C96" w:rsidRPr="001E0C96" w:rsidRDefault="001E0C96" w:rsidP="001E0C9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Toxicología</w:t>
      </w:r>
    </w:p>
    <w:p w14:paraId="6DF17A72" w14:textId="77777777" w:rsidR="001E0C96" w:rsidRPr="001E0C96" w:rsidRDefault="001E0C96" w:rsidP="000532E6">
      <w:pPr>
        <w:pStyle w:val="ListParagraph"/>
        <w:tabs>
          <w:tab w:val="left" w:pos="1080"/>
        </w:tabs>
        <w:spacing w:after="0"/>
        <w:ind w:left="1092"/>
        <w:jc w:val="both"/>
        <w:rPr>
          <w:rFonts w:ascii="Times New Roman" w:hAnsi="Times New Roman" w:cs="Times New Roman"/>
          <w:lang w:val="es-PE"/>
        </w:rPr>
      </w:pPr>
    </w:p>
    <w:p w14:paraId="25EA581E" w14:textId="77777777" w:rsidR="001E0C96" w:rsidRPr="000532E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Carboxihemoglobina: 55% → indicador de inhalación de monóxido de carbono en vida.</w:t>
      </w:r>
      <w:r w:rsidRPr="000532E6">
        <w:rPr>
          <w:rFonts w:ascii="Times New Roman" w:hAnsi="Times New Roman" w:cs="Times New Roman"/>
          <w:lang w:val="es-PE"/>
        </w:rPr>
        <w:t xml:space="preserve"> Valores &gt;50% se asocian con pérdida de conciencia y muerte por hipoxia.</w:t>
      </w:r>
    </w:p>
    <w:p w14:paraId="26FF8843" w14:textId="77777777" w:rsidR="001E0C96" w:rsidRPr="001E0C9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Cianuro: Positivo en sangre venosa periférica (0.8 µg/</w:t>
      </w:r>
      <w:proofErr w:type="spellStart"/>
      <w:r w:rsidRPr="001E0C96">
        <w:rPr>
          <w:rFonts w:ascii="Times New Roman" w:hAnsi="Times New Roman" w:cs="Times New Roman"/>
          <w:lang w:val="es-PE"/>
        </w:rPr>
        <w:t>mL</w:t>
      </w:r>
      <w:proofErr w:type="spellEnd"/>
      <w:r w:rsidRPr="001E0C96">
        <w:rPr>
          <w:rFonts w:ascii="Times New Roman" w:hAnsi="Times New Roman" w:cs="Times New Roman"/>
          <w:lang w:val="es-PE"/>
        </w:rPr>
        <w:t>) → compatible con combustión de materiales sintéticos (PVC).</w:t>
      </w:r>
    </w:p>
    <w:p w14:paraId="59A44E59" w14:textId="27BCCDBC" w:rsidR="001E0C96" w:rsidRPr="001E0C9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Alcohol y drogas de abuso: Positivo.</w:t>
      </w:r>
    </w:p>
    <w:p w14:paraId="07405F2C" w14:textId="77777777" w:rsidR="001E0C96" w:rsidRPr="001E0C96" w:rsidRDefault="001E0C96" w:rsidP="001E0C96">
      <w:pPr>
        <w:pStyle w:val="ListParagraph"/>
        <w:tabs>
          <w:tab w:val="left" w:pos="1080"/>
        </w:tabs>
        <w:ind w:left="1092"/>
        <w:rPr>
          <w:rFonts w:ascii="Times New Roman" w:hAnsi="Times New Roman" w:cs="Times New Roman"/>
          <w:lang w:val="es-PE"/>
        </w:rPr>
      </w:pPr>
    </w:p>
    <w:p w14:paraId="06EED28E" w14:textId="77B79857" w:rsidR="001E0C96" w:rsidRPr="001E0C96" w:rsidRDefault="001E0C96" w:rsidP="001E0C96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1E0C96">
        <w:rPr>
          <w:rFonts w:ascii="Times New Roman" w:hAnsi="Times New Roman" w:cs="Times New Roman"/>
          <w:lang w:val="es-PE"/>
        </w:rPr>
        <w:t>Hispatología</w:t>
      </w:r>
      <w:proofErr w:type="spellEnd"/>
    </w:p>
    <w:p w14:paraId="43D10E76" w14:textId="77777777" w:rsidR="001E0C96" w:rsidRPr="001E0C96" w:rsidRDefault="001E0C96" w:rsidP="000532E6">
      <w:pPr>
        <w:pStyle w:val="ListParagraph"/>
        <w:tabs>
          <w:tab w:val="left" w:pos="1080"/>
        </w:tabs>
        <w:spacing w:after="0"/>
        <w:ind w:left="1092"/>
        <w:rPr>
          <w:rFonts w:ascii="Times New Roman" w:hAnsi="Times New Roman" w:cs="Times New Roman"/>
          <w:lang w:val="es-PE"/>
        </w:rPr>
      </w:pPr>
    </w:p>
    <w:p w14:paraId="2CCA587C" w14:textId="77777777" w:rsidR="001E0C96" w:rsidRPr="000532E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Pulmón: edema alveolar, carbón en macrófagos alveolares, congestión y necrosis focal.</w:t>
      </w:r>
    </w:p>
    <w:p w14:paraId="49ED044A" w14:textId="77777777" w:rsidR="001E0C96" w:rsidRPr="000532E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t>Tráquea: necrosis superficial y depósitos de hollín → inhalación en vida.</w:t>
      </w:r>
    </w:p>
    <w:p w14:paraId="416D81CF" w14:textId="77777777" w:rsidR="001E0C96" w:rsidRPr="000532E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t>Piel quemada: cambios térmicos, ampollas con contenido proteico → reacción vital.</w:t>
      </w:r>
    </w:p>
    <w:p w14:paraId="61819AEA" w14:textId="77BA4ECA" w:rsidR="001E0C96" w:rsidRPr="000532E6" w:rsidRDefault="001E0C96" w:rsidP="001E0C96">
      <w:pPr>
        <w:pStyle w:val="ListParagraph"/>
        <w:numPr>
          <w:ilvl w:val="0"/>
          <w:numId w:val="14"/>
        </w:numPr>
        <w:tabs>
          <w:tab w:val="left" w:pos="1080"/>
        </w:tabs>
        <w:ind w:left="1440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lastRenderedPageBreak/>
        <w:t>Otros órganos: congestión generalizada, sin signos de enfermedad crónica.</w:t>
      </w:r>
    </w:p>
    <w:p w14:paraId="045F8926" w14:textId="77777777" w:rsidR="001E0C96" w:rsidRPr="000532E6" w:rsidRDefault="001E0C96" w:rsidP="001E0C96">
      <w:pPr>
        <w:pStyle w:val="ListParagraph"/>
        <w:tabs>
          <w:tab w:val="left" w:pos="1080"/>
        </w:tabs>
        <w:ind w:left="1092"/>
        <w:rPr>
          <w:rFonts w:ascii="Times New Roman" w:hAnsi="Times New Roman" w:cs="Times New Roman"/>
          <w:lang w:val="es-PE"/>
        </w:rPr>
      </w:pPr>
    </w:p>
    <w:p w14:paraId="039EE714" w14:textId="50FE0CE9" w:rsidR="001E0C96" w:rsidRPr="000532E6" w:rsidRDefault="001E0C96" w:rsidP="001E0C96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INTERPRETACIÓN MÉDICO LEGAL</w:t>
      </w:r>
    </w:p>
    <w:p w14:paraId="4C6E4560" w14:textId="77777777" w:rsidR="001E0C96" w:rsidRDefault="001E0C96" w:rsidP="001E0C96">
      <w:pPr>
        <w:pStyle w:val="ListParagraph"/>
        <w:tabs>
          <w:tab w:val="left" w:pos="1080"/>
        </w:tabs>
        <w:rPr>
          <w:lang w:val="es-PE"/>
        </w:rPr>
      </w:pPr>
    </w:p>
    <w:p w14:paraId="72E985AF" w14:textId="77777777" w:rsidR="000532E6" w:rsidRDefault="001E0C96" w:rsidP="000532E6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1E0C96">
        <w:rPr>
          <w:rFonts w:ascii="Times New Roman" w:hAnsi="Times New Roman" w:cs="Times New Roman"/>
          <w:lang w:val="es-PE"/>
        </w:rPr>
        <w:t>Causa médica inmediata de la muerte:</w:t>
      </w:r>
      <w:r w:rsidR="000532E6" w:rsidRPr="000532E6">
        <w:rPr>
          <w:rFonts w:ascii="Times New Roman" w:hAnsi="Times New Roman" w:cs="Times New Roman"/>
          <w:lang w:val="es-PE"/>
        </w:rPr>
        <w:t xml:space="preserve"> </w:t>
      </w:r>
      <w:r w:rsidRPr="000532E6">
        <w:rPr>
          <w:rFonts w:ascii="Times New Roman" w:hAnsi="Times New Roman" w:cs="Times New Roman"/>
          <w:lang w:val="es-PE"/>
        </w:rPr>
        <w:t>Asfixia por inhalación de gases tóxicos (monóxido de carbono y cianuro)</w:t>
      </w:r>
    </w:p>
    <w:p w14:paraId="5915E86E" w14:textId="77777777" w:rsidR="000532E6" w:rsidRDefault="000532E6" w:rsidP="000532E6">
      <w:pPr>
        <w:pStyle w:val="ListParagraph"/>
        <w:tabs>
          <w:tab w:val="left" w:pos="1080"/>
        </w:tabs>
        <w:spacing w:after="0"/>
        <w:ind w:left="1440"/>
        <w:jc w:val="both"/>
        <w:rPr>
          <w:rFonts w:ascii="Times New Roman" w:hAnsi="Times New Roman" w:cs="Times New Roman"/>
          <w:lang w:val="es-PE"/>
        </w:rPr>
      </w:pPr>
    </w:p>
    <w:p w14:paraId="30EF50A9" w14:textId="67F63789" w:rsidR="000532E6" w:rsidRDefault="001E0C96" w:rsidP="000532E6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t>Condición coadyuvante significativa:</w:t>
      </w:r>
      <w:r w:rsidR="000532E6" w:rsidRPr="000532E6">
        <w:rPr>
          <w:rFonts w:ascii="Times New Roman" w:hAnsi="Times New Roman" w:cs="Times New Roman"/>
          <w:lang w:val="es-PE"/>
        </w:rPr>
        <w:t xml:space="preserve"> </w:t>
      </w:r>
      <w:r w:rsidRPr="000532E6">
        <w:rPr>
          <w:rFonts w:ascii="Times New Roman" w:hAnsi="Times New Roman" w:cs="Times New Roman"/>
          <w:lang w:val="es-PE"/>
        </w:rPr>
        <w:t xml:space="preserve">Quemaduras térmicas de segundo a </w:t>
      </w:r>
      <w:r w:rsidR="000532E6" w:rsidRPr="000532E6">
        <w:rPr>
          <w:rFonts w:ascii="Times New Roman" w:hAnsi="Times New Roman" w:cs="Times New Roman"/>
          <w:lang w:val="es-PE"/>
        </w:rPr>
        <w:t>tercer</w:t>
      </w:r>
      <w:r w:rsidRPr="000532E6">
        <w:rPr>
          <w:rFonts w:ascii="Times New Roman" w:hAnsi="Times New Roman" w:cs="Times New Roman"/>
          <w:lang w:val="es-PE"/>
        </w:rPr>
        <w:t xml:space="preserve"> grado, extensas (70%)</w:t>
      </w:r>
      <w:r w:rsidR="000532E6">
        <w:rPr>
          <w:rFonts w:ascii="Times New Roman" w:hAnsi="Times New Roman" w:cs="Times New Roman"/>
          <w:lang w:val="es-PE"/>
        </w:rPr>
        <w:t>.</w:t>
      </w:r>
    </w:p>
    <w:p w14:paraId="603C7D4B" w14:textId="77777777" w:rsidR="000532E6" w:rsidRDefault="000532E6" w:rsidP="000532E6">
      <w:pPr>
        <w:pStyle w:val="ListParagraph"/>
        <w:tabs>
          <w:tab w:val="left" w:pos="1080"/>
        </w:tabs>
        <w:ind w:left="1440"/>
        <w:jc w:val="both"/>
        <w:rPr>
          <w:rFonts w:ascii="Times New Roman" w:hAnsi="Times New Roman" w:cs="Times New Roman"/>
          <w:lang w:val="es-PE"/>
        </w:rPr>
      </w:pPr>
    </w:p>
    <w:p w14:paraId="4855237A" w14:textId="77777777" w:rsidR="000532E6" w:rsidRDefault="001E0C96" w:rsidP="000532E6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t>Mecanismo fisiopatológico de la muerte:</w:t>
      </w:r>
      <w:r w:rsidR="000532E6" w:rsidRPr="000532E6">
        <w:rPr>
          <w:rFonts w:ascii="Times New Roman" w:hAnsi="Times New Roman" w:cs="Times New Roman"/>
          <w:lang w:val="es-PE"/>
        </w:rPr>
        <w:t xml:space="preserve"> </w:t>
      </w:r>
      <w:r w:rsidRPr="000532E6">
        <w:rPr>
          <w:rFonts w:ascii="Times New Roman" w:hAnsi="Times New Roman" w:cs="Times New Roman"/>
          <w:lang w:val="es-PE"/>
        </w:rPr>
        <w:t>Hipoxia severa por desplazamiento del oxígeno a nivel de hemoglobina (</w:t>
      </w:r>
      <w:proofErr w:type="spellStart"/>
      <w:r w:rsidRPr="000532E6">
        <w:rPr>
          <w:rFonts w:ascii="Times New Roman" w:hAnsi="Times New Roman" w:cs="Times New Roman"/>
          <w:lang w:val="es-PE"/>
        </w:rPr>
        <w:t>carboxihemoglobinemia</w:t>
      </w:r>
      <w:proofErr w:type="spellEnd"/>
      <w:r w:rsidRPr="000532E6">
        <w:rPr>
          <w:rFonts w:ascii="Times New Roman" w:hAnsi="Times New Roman" w:cs="Times New Roman"/>
          <w:lang w:val="es-PE"/>
        </w:rPr>
        <w:t>), edema pulmonar e insuficiencia respiratoria aguda.</w:t>
      </w:r>
    </w:p>
    <w:p w14:paraId="053EDA10" w14:textId="77777777" w:rsidR="000532E6" w:rsidRPr="000532E6" w:rsidRDefault="000532E6" w:rsidP="000532E6">
      <w:pPr>
        <w:pStyle w:val="ListParagraph"/>
        <w:rPr>
          <w:rFonts w:ascii="Times New Roman" w:hAnsi="Times New Roman" w:cs="Times New Roman"/>
          <w:lang w:val="es-PE"/>
        </w:rPr>
      </w:pPr>
    </w:p>
    <w:p w14:paraId="25F7EC4B" w14:textId="77777777" w:rsidR="000532E6" w:rsidRDefault="001E0C96" w:rsidP="000532E6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t>Naturaleza de la muerte:</w:t>
      </w:r>
      <w:r w:rsidR="000532E6" w:rsidRPr="000532E6">
        <w:rPr>
          <w:rFonts w:ascii="Times New Roman" w:hAnsi="Times New Roman" w:cs="Times New Roman"/>
          <w:lang w:val="es-PE"/>
        </w:rPr>
        <w:t xml:space="preserve"> </w:t>
      </w:r>
      <w:r w:rsidRPr="000532E6">
        <w:rPr>
          <w:rFonts w:ascii="Times New Roman" w:hAnsi="Times New Roman" w:cs="Times New Roman"/>
          <w:lang w:val="es-PE"/>
        </w:rPr>
        <w:t>Violenta – Probable accidental, en contexto de incendio estructural.</w:t>
      </w:r>
    </w:p>
    <w:p w14:paraId="3330B471" w14:textId="77777777" w:rsidR="000532E6" w:rsidRPr="000532E6" w:rsidRDefault="000532E6" w:rsidP="000532E6">
      <w:pPr>
        <w:pStyle w:val="ListParagraph"/>
        <w:rPr>
          <w:rFonts w:ascii="Times New Roman" w:hAnsi="Times New Roman" w:cs="Times New Roman"/>
          <w:lang w:val="es-PE"/>
        </w:rPr>
      </w:pPr>
    </w:p>
    <w:p w14:paraId="2CD958E5" w14:textId="00B474F8" w:rsidR="001E0C96" w:rsidRPr="000532E6" w:rsidRDefault="001E0C96" w:rsidP="000532E6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t>Tiempo estimado de muerte:</w:t>
      </w:r>
      <w:r w:rsidR="000532E6" w:rsidRPr="000532E6">
        <w:rPr>
          <w:rFonts w:ascii="Times New Roman" w:hAnsi="Times New Roman" w:cs="Times New Roman"/>
          <w:lang w:val="es-PE"/>
        </w:rPr>
        <w:t xml:space="preserve"> 10</w:t>
      </w:r>
      <w:r w:rsidRPr="000532E6">
        <w:rPr>
          <w:rFonts w:ascii="Times New Roman" w:hAnsi="Times New Roman" w:cs="Times New Roman"/>
          <w:lang w:val="es-PE"/>
        </w:rPr>
        <w:t xml:space="preserve"> horas antes de la autopsia (compatible con el incendio </w:t>
      </w:r>
      <w:r w:rsidR="000532E6" w:rsidRPr="000532E6">
        <w:rPr>
          <w:rFonts w:ascii="Times New Roman" w:hAnsi="Times New Roman" w:cs="Times New Roman"/>
          <w:lang w:val="es-PE"/>
        </w:rPr>
        <w:t>en la discoteca “Narnia”</w:t>
      </w:r>
      <w:r w:rsidRPr="000532E6">
        <w:rPr>
          <w:rFonts w:ascii="Times New Roman" w:hAnsi="Times New Roman" w:cs="Times New Roman"/>
          <w:lang w:val="es-PE"/>
        </w:rPr>
        <w:t>).</w:t>
      </w:r>
    </w:p>
    <w:p w14:paraId="68C48843" w14:textId="77777777" w:rsidR="001E0C96" w:rsidRPr="000532E6" w:rsidRDefault="001E0C96" w:rsidP="000532E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2FF5C36A" w14:textId="06C6DFED" w:rsidR="001E0C96" w:rsidRPr="000532E6" w:rsidRDefault="000532E6" w:rsidP="000532E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b/>
          <w:bCs/>
          <w:lang w:val="es-PE"/>
        </w:rPr>
      </w:pPr>
      <w:r w:rsidRPr="000532E6">
        <w:rPr>
          <w:rFonts w:ascii="Times New Roman" w:hAnsi="Times New Roman" w:cs="Times New Roman"/>
          <w:b/>
          <w:bCs/>
          <w:lang w:val="es-PE"/>
        </w:rPr>
        <w:t>CONCLUSIONES</w:t>
      </w:r>
    </w:p>
    <w:p w14:paraId="2B145A01" w14:textId="77777777" w:rsidR="000532E6" w:rsidRPr="000532E6" w:rsidRDefault="000532E6" w:rsidP="000532E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418ABAF9" w14:textId="7AF546CF" w:rsidR="000532E6" w:rsidRDefault="000532E6" w:rsidP="000532E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El presente caso se trata de un cadáver de sexo masculino que corresponde al nombre: </w:t>
      </w:r>
      <w:r w:rsidRPr="001E0C96">
        <w:rPr>
          <w:rFonts w:ascii="Times New Roman" w:hAnsi="Times New Roman" w:cs="Times New Roman"/>
          <w:lang w:val="es-PE"/>
        </w:rPr>
        <w:t>Luis Felipe Rivera Machado</w:t>
      </w:r>
      <w:r>
        <w:rPr>
          <w:rFonts w:ascii="Times New Roman" w:hAnsi="Times New Roman" w:cs="Times New Roman"/>
          <w:lang w:val="es-PE"/>
        </w:rPr>
        <w:t xml:space="preserve">, de 30 </w:t>
      </w:r>
      <w:r w:rsidR="00E125DB">
        <w:rPr>
          <w:rFonts w:ascii="Times New Roman" w:hAnsi="Times New Roman" w:cs="Times New Roman"/>
          <w:lang w:val="es-PE"/>
        </w:rPr>
        <w:t>años</w:t>
      </w:r>
      <w:r>
        <w:rPr>
          <w:rFonts w:ascii="Times New Roman" w:hAnsi="Times New Roman" w:cs="Times New Roman"/>
          <w:lang w:val="es-PE"/>
        </w:rPr>
        <w:t>, que luego de practicar la necropsia de ley, se</w:t>
      </w:r>
      <w:r w:rsidRPr="000532E6">
        <w:rPr>
          <w:rFonts w:ascii="Times New Roman" w:hAnsi="Times New Roman" w:cs="Times New Roman"/>
          <w:lang w:val="es-PE"/>
        </w:rPr>
        <w:t xml:space="preserve"> permite establecer que el fallecimiento fue consecuencia de una asfixia por inhalación de gases tóxicos (monóxido de carbono y cianuro), lo cual ocurrió en vida, como lo demuestra la presencia de hollín en vías respiratorias y la concentración elevada de carboxihemoglobina.</w:t>
      </w:r>
    </w:p>
    <w:p w14:paraId="46A0B20C" w14:textId="586BFB0B" w:rsidR="000532E6" w:rsidRDefault="000532E6" w:rsidP="000532E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br/>
        <w:t>Las quemaduras térmicas extensas actuaron como factor coadyuvante, pero no fueron por sí solas la causa inmediata de muerte.</w:t>
      </w:r>
    </w:p>
    <w:p w14:paraId="1704D330" w14:textId="77777777" w:rsidR="000532E6" w:rsidRPr="000532E6" w:rsidRDefault="000532E6" w:rsidP="000532E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</w:p>
    <w:p w14:paraId="1DDB4962" w14:textId="77777777" w:rsidR="000532E6" w:rsidRPr="000532E6" w:rsidRDefault="000532E6" w:rsidP="000532E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lang w:val="es-PE"/>
        </w:rPr>
      </w:pPr>
      <w:r w:rsidRPr="000532E6">
        <w:rPr>
          <w:rFonts w:ascii="Times New Roman" w:hAnsi="Times New Roman" w:cs="Times New Roman"/>
          <w:lang w:val="es-PE"/>
        </w:rPr>
        <w:t>No se hallaron lesiones traumáticas de defensa, ni heridas que sugieran participación de terceros, por lo que, con la evidencia disponible, se clasifica la muerte como violenta de tipo accidental, sujeta a investigación adicional.</w:t>
      </w:r>
    </w:p>
    <w:p w14:paraId="5B20933C" w14:textId="77777777" w:rsidR="000532E6" w:rsidRDefault="000532E6" w:rsidP="000532E6">
      <w:pPr>
        <w:pStyle w:val="ListParagraph"/>
        <w:tabs>
          <w:tab w:val="left" w:pos="1080"/>
        </w:tabs>
        <w:rPr>
          <w:lang w:val="es-PE"/>
        </w:rPr>
      </w:pPr>
    </w:p>
    <w:p w14:paraId="1581D90F" w14:textId="77777777" w:rsidR="00B52038" w:rsidRDefault="00B52038" w:rsidP="00B52038">
      <w:pPr>
        <w:pStyle w:val="ListParagraph"/>
        <w:tabs>
          <w:tab w:val="left" w:pos="1080"/>
        </w:tabs>
        <w:jc w:val="right"/>
        <w:rPr>
          <w:rFonts w:ascii="Times New Roman" w:hAnsi="Times New Roman" w:cs="Times New Roman"/>
          <w:lang w:val="es-PE"/>
        </w:rPr>
      </w:pPr>
    </w:p>
    <w:p w14:paraId="0CFA1F5D" w14:textId="54D1F3C6" w:rsidR="00B52038" w:rsidRPr="00B52038" w:rsidRDefault="00B52038" w:rsidP="00B52038">
      <w:pPr>
        <w:pStyle w:val="ListParagraph"/>
        <w:tabs>
          <w:tab w:val="left" w:pos="1080"/>
        </w:tabs>
        <w:jc w:val="right"/>
        <w:rPr>
          <w:rFonts w:ascii="Times New Roman" w:hAnsi="Times New Roman" w:cs="Times New Roman"/>
          <w:lang w:val="es-PE"/>
        </w:rPr>
      </w:pPr>
      <w:r w:rsidRPr="00B52038">
        <w:rPr>
          <w:rFonts w:ascii="Times New Roman" w:hAnsi="Times New Roman" w:cs="Times New Roman"/>
          <w:lang w:val="es-PE"/>
        </w:rPr>
        <w:t>Lima, 10 de enero de 2024</w:t>
      </w:r>
    </w:p>
    <w:sectPr w:rsidR="00B52038" w:rsidRPr="00B52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6EC6"/>
    <w:multiLevelType w:val="hybridMultilevel"/>
    <w:tmpl w:val="09045EB8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30927"/>
    <w:multiLevelType w:val="hybridMultilevel"/>
    <w:tmpl w:val="A60CABF8"/>
    <w:lvl w:ilvl="0" w:tplc="EF3A23C6">
      <w:numFmt w:val="bullet"/>
      <w:lvlText w:val="-"/>
      <w:lvlJc w:val="left"/>
      <w:pPr>
        <w:ind w:left="18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" w15:restartNumberingAfterBreak="0">
    <w:nsid w:val="1D354135"/>
    <w:multiLevelType w:val="hybridMultilevel"/>
    <w:tmpl w:val="B178C32A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4231E"/>
    <w:multiLevelType w:val="hybridMultilevel"/>
    <w:tmpl w:val="C388B2C0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B68B4"/>
    <w:multiLevelType w:val="multilevel"/>
    <w:tmpl w:val="41B2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C6174"/>
    <w:multiLevelType w:val="hybridMultilevel"/>
    <w:tmpl w:val="BDA04EFE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A08F0"/>
    <w:multiLevelType w:val="hybridMultilevel"/>
    <w:tmpl w:val="FD9621A0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D767C"/>
    <w:multiLevelType w:val="hybridMultilevel"/>
    <w:tmpl w:val="9B06E324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763172"/>
    <w:multiLevelType w:val="hybridMultilevel"/>
    <w:tmpl w:val="5B2E6C2A"/>
    <w:lvl w:ilvl="0" w:tplc="EADA2A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C08FE"/>
    <w:multiLevelType w:val="hybridMultilevel"/>
    <w:tmpl w:val="578AC206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D725CA"/>
    <w:multiLevelType w:val="multilevel"/>
    <w:tmpl w:val="39165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556A1B52"/>
    <w:multiLevelType w:val="multilevel"/>
    <w:tmpl w:val="B55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B4DBD"/>
    <w:multiLevelType w:val="multilevel"/>
    <w:tmpl w:val="3E36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A5AC9"/>
    <w:multiLevelType w:val="hybridMultilevel"/>
    <w:tmpl w:val="3F8E939C"/>
    <w:lvl w:ilvl="0" w:tplc="EF3A23C6">
      <w:numFmt w:val="bullet"/>
      <w:lvlText w:val="-"/>
      <w:lvlJc w:val="left"/>
      <w:pPr>
        <w:ind w:left="18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4" w15:restartNumberingAfterBreak="0">
    <w:nsid w:val="63E10AC0"/>
    <w:multiLevelType w:val="hybridMultilevel"/>
    <w:tmpl w:val="23327FFA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2B77DD"/>
    <w:multiLevelType w:val="hybridMultilevel"/>
    <w:tmpl w:val="3CAA9E16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60850"/>
    <w:multiLevelType w:val="multilevel"/>
    <w:tmpl w:val="0F74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EC1D9E"/>
    <w:multiLevelType w:val="multilevel"/>
    <w:tmpl w:val="F938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60DA"/>
    <w:multiLevelType w:val="multilevel"/>
    <w:tmpl w:val="9E94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44E22"/>
    <w:multiLevelType w:val="hybridMultilevel"/>
    <w:tmpl w:val="4CB64DAE"/>
    <w:lvl w:ilvl="0" w:tplc="EF3A23C6">
      <w:numFmt w:val="bullet"/>
      <w:lvlText w:val="-"/>
      <w:lvlJc w:val="left"/>
      <w:pPr>
        <w:ind w:left="18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num w:numId="1" w16cid:durableId="1165318521">
    <w:abstractNumId w:val="10"/>
  </w:num>
  <w:num w:numId="2" w16cid:durableId="678587024">
    <w:abstractNumId w:val="15"/>
  </w:num>
  <w:num w:numId="3" w16cid:durableId="129976385">
    <w:abstractNumId w:val="3"/>
  </w:num>
  <w:num w:numId="4" w16cid:durableId="703411781">
    <w:abstractNumId w:val="7"/>
  </w:num>
  <w:num w:numId="5" w16cid:durableId="1249970609">
    <w:abstractNumId w:val="4"/>
  </w:num>
  <w:num w:numId="6" w16cid:durableId="236017514">
    <w:abstractNumId w:val="9"/>
  </w:num>
  <w:num w:numId="7" w16cid:durableId="1489980474">
    <w:abstractNumId w:val="1"/>
  </w:num>
  <w:num w:numId="8" w16cid:durableId="1352947477">
    <w:abstractNumId w:val="19"/>
  </w:num>
  <w:num w:numId="9" w16cid:durableId="1969894795">
    <w:abstractNumId w:val="14"/>
  </w:num>
  <w:num w:numId="10" w16cid:durableId="1189031835">
    <w:abstractNumId w:val="0"/>
  </w:num>
  <w:num w:numId="11" w16cid:durableId="935792468">
    <w:abstractNumId w:val="5"/>
  </w:num>
  <w:num w:numId="12" w16cid:durableId="935597468">
    <w:abstractNumId w:val="6"/>
  </w:num>
  <w:num w:numId="13" w16cid:durableId="1626889621">
    <w:abstractNumId w:val="8"/>
  </w:num>
  <w:num w:numId="14" w16cid:durableId="241258496">
    <w:abstractNumId w:val="13"/>
  </w:num>
  <w:num w:numId="15" w16cid:durableId="1613047638">
    <w:abstractNumId w:val="17"/>
  </w:num>
  <w:num w:numId="16" w16cid:durableId="1752770604">
    <w:abstractNumId w:val="11"/>
  </w:num>
  <w:num w:numId="17" w16cid:durableId="2038726437">
    <w:abstractNumId w:val="16"/>
  </w:num>
  <w:num w:numId="18" w16cid:durableId="1870953328">
    <w:abstractNumId w:val="18"/>
  </w:num>
  <w:num w:numId="19" w16cid:durableId="636910095">
    <w:abstractNumId w:val="12"/>
  </w:num>
  <w:num w:numId="20" w16cid:durableId="200404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BE"/>
    <w:rsid w:val="000532E6"/>
    <w:rsid w:val="0012095F"/>
    <w:rsid w:val="001E0C96"/>
    <w:rsid w:val="002512B4"/>
    <w:rsid w:val="00840D51"/>
    <w:rsid w:val="00852567"/>
    <w:rsid w:val="009B7564"/>
    <w:rsid w:val="00AD46A6"/>
    <w:rsid w:val="00B52038"/>
    <w:rsid w:val="00B612CB"/>
    <w:rsid w:val="00DB4DBE"/>
    <w:rsid w:val="00E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B089"/>
  <w15:chartTrackingRefBased/>
  <w15:docId w15:val="{83D0AE8E-0FE0-49AF-88BD-E93827D6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DB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E0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2" ma:contentTypeDescription="Crear nuevo documento." ma:contentTypeScope="" ma:versionID="c75a21489b292fda1626d1caf37eae74">
  <xsd:schema xmlns:xsd="http://www.w3.org/2001/XMLSchema" xmlns:xs="http://www.w3.org/2001/XMLSchema" xmlns:p="http://schemas.microsoft.com/office/2006/metadata/properties" xmlns:ns2="3050f89a-541c-481d-bffb-5ec91933b9e7" targetNamespace="http://schemas.microsoft.com/office/2006/metadata/properties" ma:root="true" ma:fieldsID="03615d9f3f536593743dd4a2ce8e7899" ns2:_="">
    <xsd:import namespace="3050f89a-541c-481d-bffb-5ec91933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f89a-541c-481d-bffb-5ec91933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F1C5D-AA04-4B4F-944B-2C16F239B332}"/>
</file>

<file path=customXml/itemProps2.xml><?xml version="1.0" encoding="utf-8"?>
<ds:datastoreItem xmlns:ds="http://schemas.openxmlformats.org/officeDocument/2006/customXml" ds:itemID="{708B0771-16D2-4E89-B84A-EAB92A7A3D73}"/>
</file>

<file path=customXml/itemProps3.xml><?xml version="1.0" encoding="utf-8"?>
<ds:datastoreItem xmlns:ds="http://schemas.openxmlformats.org/officeDocument/2006/customXml" ds:itemID="{651A0E18-1E59-481A-B947-657EA78CD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Felipe Gervasi Cam</dc:creator>
  <cp:keywords/>
  <dc:description/>
  <cp:lastModifiedBy>Franco Felipe Gervasi Cam</cp:lastModifiedBy>
  <cp:revision>4</cp:revision>
  <dcterms:created xsi:type="dcterms:W3CDTF">2025-05-20T15:49:00Z</dcterms:created>
  <dcterms:modified xsi:type="dcterms:W3CDTF">2025-05-21T22:02:00Z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